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CAD" w:rsidRDefault="00863EAA">
      <w:pPr>
        <w:autoSpaceDE w:val="0"/>
        <w:spacing w:line="540" w:lineRule="exact"/>
        <w:rPr>
          <w:rFonts w:ascii="方正黑体_GBK" w:eastAsia="方正黑体_GBK" w:hAnsi="方正黑体_GBK" w:cs="方正黑体_GBK"/>
          <w:sz w:val="24"/>
          <w:szCs w:val="24"/>
        </w:rPr>
      </w:pPr>
      <w:r>
        <w:rPr>
          <w:rFonts w:ascii="方正黑体_GBK" w:eastAsia="方正黑体_GBK" w:hAnsi="方正黑体_GBK" w:cs="方正黑体_GBK" w:hint="eastAsia"/>
          <w:sz w:val="24"/>
          <w:szCs w:val="24"/>
        </w:rPr>
        <w:t>附件</w:t>
      </w:r>
      <w:r>
        <w:rPr>
          <w:rFonts w:ascii="方正黑体_GBK" w:eastAsia="方正黑体_GBK" w:hAnsi="方正黑体_GBK" w:cs="方正黑体_GBK" w:hint="eastAsia"/>
          <w:sz w:val="24"/>
          <w:szCs w:val="24"/>
        </w:rPr>
        <w:t>2</w:t>
      </w:r>
    </w:p>
    <w:p w:rsidR="00576CAD" w:rsidRDefault="00576CAD">
      <w:pPr>
        <w:autoSpaceDE w:val="0"/>
        <w:spacing w:line="540" w:lineRule="exact"/>
        <w:ind w:firstLine="640"/>
        <w:rPr>
          <w:rFonts w:ascii="Times New Roman" w:eastAsia="黑体" w:hAnsi="Times New Roman"/>
          <w:sz w:val="32"/>
          <w:szCs w:val="32"/>
        </w:rPr>
      </w:pPr>
    </w:p>
    <w:p w:rsidR="00576CAD" w:rsidRDefault="00576CAD">
      <w:pPr>
        <w:autoSpaceDE w:val="0"/>
        <w:spacing w:line="540" w:lineRule="exact"/>
        <w:ind w:firstLine="640"/>
        <w:rPr>
          <w:rFonts w:ascii="Times New Roman" w:eastAsia="黑体" w:hAnsi="Times New Roman"/>
          <w:sz w:val="32"/>
          <w:szCs w:val="32"/>
        </w:rPr>
      </w:pPr>
    </w:p>
    <w:p w:rsidR="00576CAD" w:rsidRDefault="00576CAD">
      <w:pPr>
        <w:autoSpaceDE w:val="0"/>
        <w:spacing w:line="540" w:lineRule="exact"/>
        <w:ind w:firstLine="640"/>
        <w:rPr>
          <w:rFonts w:ascii="Times New Roman" w:eastAsia="黑体" w:hAnsi="Times New Roman"/>
          <w:sz w:val="32"/>
          <w:szCs w:val="32"/>
        </w:rPr>
      </w:pPr>
    </w:p>
    <w:p w:rsidR="00576CAD" w:rsidRDefault="00576CAD">
      <w:pPr>
        <w:autoSpaceDE w:val="0"/>
        <w:spacing w:line="540" w:lineRule="exact"/>
        <w:ind w:firstLine="640"/>
        <w:rPr>
          <w:rFonts w:ascii="Times New Roman" w:eastAsia="黑体" w:hAnsi="Times New Roman"/>
          <w:sz w:val="32"/>
          <w:szCs w:val="32"/>
        </w:rPr>
      </w:pPr>
    </w:p>
    <w:p w:rsidR="00576CAD" w:rsidRDefault="00863EAA">
      <w:pPr>
        <w:contextualSpacing/>
        <w:jc w:val="center"/>
        <w:outlineLvl w:val="0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安徽省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高校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学科建设绩效自我评估表</w:t>
      </w:r>
    </w:p>
    <w:p w:rsidR="00576CAD" w:rsidRDefault="00863EAA">
      <w:pPr>
        <w:spacing w:line="580" w:lineRule="exact"/>
        <w:rPr>
          <w:rFonts w:ascii="Times New Roman" w:eastAsia="仿宋" w:hAnsi="Times New Roman"/>
          <w:sz w:val="44"/>
          <w:szCs w:val="44"/>
        </w:rPr>
      </w:pPr>
      <w:r>
        <w:rPr>
          <w:rFonts w:ascii="Times New Roman" w:eastAsia="仿宋" w:hAnsi="Times New Roman"/>
          <w:sz w:val="44"/>
          <w:szCs w:val="44"/>
        </w:rPr>
        <w:t xml:space="preserve"> </w:t>
      </w:r>
    </w:p>
    <w:p w:rsidR="00576CAD" w:rsidRDefault="00576CAD">
      <w:pPr>
        <w:spacing w:line="580" w:lineRule="exact"/>
        <w:rPr>
          <w:rFonts w:ascii="Times New Roman" w:eastAsia="仿宋" w:hAnsi="Times New Roman"/>
          <w:sz w:val="44"/>
          <w:szCs w:val="44"/>
        </w:rPr>
      </w:pPr>
    </w:p>
    <w:p w:rsidR="00576CAD" w:rsidRDefault="00576CAD">
      <w:pPr>
        <w:spacing w:line="360" w:lineRule="auto"/>
        <w:jc w:val="center"/>
        <w:rPr>
          <w:rFonts w:ascii="方正楷体_GBK" w:eastAsia="方正楷体_GBK" w:hAnsi="方正楷体_GBK" w:cs="方正楷体_GBK"/>
          <w:sz w:val="24"/>
          <w:szCs w:val="24"/>
        </w:rPr>
      </w:pPr>
    </w:p>
    <w:p w:rsidR="00576CAD" w:rsidRDefault="00863EAA">
      <w:pPr>
        <w:spacing w:line="360" w:lineRule="auto"/>
        <w:ind w:firstLineChars="518" w:firstLine="1872"/>
        <w:jc w:val="left"/>
        <w:rPr>
          <w:rFonts w:ascii="方正仿宋_GBK" w:eastAsia="方正仿宋_GBK" w:hAnsi="方正仿宋_GBK" w:cs="方正仿宋_GBK"/>
          <w:b/>
          <w:bCs/>
          <w:kern w:val="0"/>
          <w:sz w:val="36"/>
          <w:szCs w:val="36"/>
        </w:rPr>
      </w:pPr>
      <w:r>
        <w:rPr>
          <w:rFonts w:ascii="方正仿宋_GBK" w:eastAsia="方正仿宋_GBK" w:hAnsi="方正仿宋_GBK" w:cs="方正仿宋_GBK" w:hint="eastAsia"/>
          <w:b/>
          <w:bCs/>
          <w:kern w:val="0"/>
          <w:sz w:val="36"/>
          <w:szCs w:val="36"/>
        </w:rPr>
        <w:t>单位名称：</w:t>
      </w:r>
      <w:r>
        <w:rPr>
          <w:rFonts w:ascii="方正仿宋_GBK" w:eastAsia="方正仿宋_GBK" w:hAnsi="方正仿宋_GBK" w:cs="方正仿宋_GBK" w:hint="eastAsia"/>
          <w:b/>
          <w:bCs/>
          <w:kern w:val="0"/>
          <w:sz w:val="36"/>
          <w:szCs w:val="36"/>
        </w:rPr>
        <w:t>________________</w:t>
      </w:r>
    </w:p>
    <w:p w:rsidR="00576CAD" w:rsidRDefault="00863EAA">
      <w:pPr>
        <w:spacing w:line="360" w:lineRule="auto"/>
        <w:ind w:firstLineChars="518" w:firstLine="1872"/>
        <w:jc w:val="left"/>
        <w:rPr>
          <w:rFonts w:ascii="方正仿宋_GBK" w:eastAsia="方正仿宋_GBK" w:hAnsi="方正仿宋_GBK" w:cs="方正仿宋_GBK"/>
          <w:b/>
          <w:bCs/>
          <w:kern w:val="0"/>
          <w:sz w:val="36"/>
          <w:szCs w:val="36"/>
        </w:rPr>
      </w:pPr>
      <w:r>
        <w:rPr>
          <w:rFonts w:ascii="方正仿宋_GBK" w:eastAsia="方正仿宋_GBK" w:hAnsi="方正仿宋_GBK" w:cs="方正仿宋_GBK" w:hint="eastAsia"/>
          <w:b/>
          <w:bCs/>
          <w:kern w:val="0"/>
          <w:sz w:val="36"/>
          <w:szCs w:val="36"/>
        </w:rPr>
        <w:t>学科名称：</w:t>
      </w:r>
      <w:r>
        <w:rPr>
          <w:rFonts w:ascii="方正仿宋_GBK" w:eastAsia="方正仿宋_GBK" w:hAnsi="方正仿宋_GBK" w:cs="方正仿宋_GBK" w:hint="eastAsia"/>
          <w:b/>
          <w:bCs/>
          <w:kern w:val="0"/>
          <w:sz w:val="36"/>
          <w:szCs w:val="36"/>
        </w:rPr>
        <w:t>________________</w:t>
      </w:r>
    </w:p>
    <w:p w:rsidR="00576CAD" w:rsidRDefault="00863EAA">
      <w:pPr>
        <w:spacing w:line="360" w:lineRule="auto"/>
        <w:ind w:firstLineChars="518" w:firstLine="1872"/>
        <w:jc w:val="left"/>
        <w:rPr>
          <w:rFonts w:ascii="方正仿宋_GBK" w:eastAsia="方正仿宋_GBK" w:hAnsi="方正仿宋_GBK" w:cs="方正仿宋_GBK"/>
          <w:b/>
          <w:bCs/>
          <w:kern w:val="0"/>
          <w:sz w:val="36"/>
          <w:szCs w:val="36"/>
        </w:rPr>
      </w:pPr>
      <w:r>
        <w:rPr>
          <w:rFonts w:ascii="方正仿宋_GBK" w:eastAsia="方正仿宋_GBK" w:hAnsi="方正仿宋_GBK" w:cs="方正仿宋_GBK" w:hint="eastAsia"/>
          <w:b/>
          <w:bCs/>
          <w:kern w:val="0"/>
          <w:sz w:val="36"/>
          <w:szCs w:val="36"/>
        </w:rPr>
        <w:t>学科类别：</w:t>
      </w:r>
      <w:r>
        <w:rPr>
          <w:rFonts w:ascii="方正仿宋_GBK" w:eastAsia="方正仿宋_GBK" w:hAnsi="方正仿宋_GBK" w:cs="方正仿宋_GBK" w:hint="eastAsia"/>
          <w:b/>
          <w:bCs/>
          <w:kern w:val="0"/>
          <w:sz w:val="36"/>
          <w:szCs w:val="36"/>
        </w:rPr>
        <w:t>________________</w:t>
      </w:r>
    </w:p>
    <w:p w:rsidR="00576CAD" w:rsidRDefault="00863EAA">
      <w:pPr>
        <w:spacing w:line="360" w:lineRule="auto"/>
        <w:ind w:firstLineChars="518" w:firstLine="1872"/>
        <w:jc w:val="left"/>
        <w:rPr>
          <w:rFonts w:ascii="方正仿宋_GBK" w:eastAsia="方正仿宋_GBK" w:hAnsi="方正仿宋_GBK" w:cs="方正仿宋_GBK"/>
          <w:b/>
          <w:bCs/>
          <w:kern w:val="0"/>
          <w:sz w:val="36"/>
          <w:szCs w:val="36"/>
        </w:rPr>
      </w:pPr>
      <w:r>
        <w:rPr>
          <w:rFonts w:ascii="方正仿宋_GBK" w:eastAsia="方正仿宋_GBK" w:hAnsi="方正仿宋_GBK" w:cs="方正仿宋_GBK" w:hint="eastAsia"/>
          <w:b/>
          <w:bCs/>
          <w:kern w:val="0"/>
          <w:sz w:val="36"/>
          <w:szCs w:val="36"/>
        </w:rPr>
        <w:t>培养层次：</w:t>
      </w:r>
      <w:r>
        <w:rPr>
          <w:rFonts w:ascii="方正仿宋_GBK" w:eastAsia="方正仿宋_GBK" w:hAnsi="方正仿宋_GBK" w:cs="方正仿宋_GBK" w:hint="eastAsia"/>
          <w:b/>
          <w:bCs/>
          <w:kern w:val="0"/>
          <w:sz w:val="36"/>
          <w:szCs w:val="36"/>
        </w:rPr>
        <w:t>________________</w:t>
      </w:r>
    </w:p>
    <w:p w:rsidR="00576CAD" w:rsidRDefault="00863EAA">
      <w:pPr>
        <w:spacing w:line="360" w:lineRule="auto"/>
        <w:ind w:firstLineChars="518" w:firstLine="1872"/>
        <w:jc w:val="left"/>
        <w:rPr>
          <w:rFonts w:ascii="方正仿宋_GBK" w:eastAsia="方正仿宋_GBK" w:hAnsi="方正仿宋_GBK" w:cs="方正仿宋_GBK"/>
          <w:b/>
          <w:bCs/>
          <w:kern w:val="0"/>
          <w:sz w:val="36"/>
          <w:szCs w:val="36"/>
        </w:rPr>
      </w:pPr>
      <w:r>
        <w:rPr>
          <w:rFonts w:ascii="方正仿宋_GBK" w:eastAsia="方正仿宋_GBK" w:hAnsi="方正仿宋_GBK" w:cs="方正仿宋_GBK" w:hint="eastAsia"/>
          <w:b/>
          <w:bCs/>
          <w:kern w:val="0"/>
          <w:sz w:val="36"/>
          <w:szCs w:val="36"/>
        </w:rPr>
        <w:t>学科门类：</w:t>
      </w:r>
      <w:r>
        <w:rPr>
          <w:rFonts w:ascii="方正仿宋_GBK" w:eastAsia="方正仿宋_GBK" w:hAnsi="方正仿宋_GBK" w:cs="方正仿宋_GBK" w:hint="eastAsia"/>
          <w:b/>
          <w:bCs/>
          <w:kern w:val="0"/>
          <w:sz w:val="36"/>
          <w:szCs w:val="36"/>
        </w:rPr>
        <w:t>________________</w:t>
      </w:r>
    </w:p>
    <w:p w:rsidR="00576CAD" w:rsidRDefault="00863EAA">
      <w:pPr>
        <w:spacing w:line="360" w:lineRule="auto"/>
        <w:ind w:firstLineChars="518" w:firstLine="1872"/>
        <w:jc w:val="left"/>
        <w:rPr>
          <w:rFonts w:ascii="方正仿宋_GBK" w:eastAsia="方正仿宋_GBK" w:hAnsi="方正仿宋_GBK" w:cs="方正仿宋_GBK"/>
          <w:b/>
          <w:bCs/>
          <w:kern w:val="0"/>
          <w:sz w:val="36"/>
          <w:szCs w:val="36"/>
        </w:rPr>
      </w:pPr>
      <w:r>
        <w:rPr>
          <w:rFonts w:ascii="方正仿宋_GBK" w:eastAsia="方正仿宋_GBK" w:hAnsi="方正仿宋_GBK" w:cs="方正仿宋_GBK" w:hint="eastAsia"/>
          <w:b/>
          <w:bCs/>
          <w:kern w:val="0"/>
          <w:sz w:val="36"/>
          <w:szCs w:val="36"/>
        </w:rPr>
        <w:t>学科负责人：</w:t>
      </w:r>
      <w:r>
        <w:rPr>
          <w:rFonts w:ascii="方正仿宋_GBK" w:eastAsia="方正仿宋_GBK" w:hAnsi="方正仿宋_GBK" w:cs="方正仿宋_GBK" w:hint="eastAsia"/>
          <w:b/>
          <w:bCs/>
          <w:kern w:val="0"/>
          <w:sz w:val="36"/>
          <w:szCs w:val="36"/>
        </w:rPr>
        <w:t>_______________</w:t>
      </w:r>
    </w:p>
    <w:p w:rsidR="00576CAD" w:rsidRDefault="00576CAD">
      <w:pPr>
        <w:spacing w:line="360" w:lineRule="auto"/>
        <w:ind w:firstLineChars="518" w:firstLine="1243"/>
        <w:jc w:val="left"/>
        <w:rPr>
          <w:rFonts w:ascii="方正楷体_GBK" w:eastAsia="方正楷体_GBK" w:hAnsi="方正楷体_GBK" w:cs="方正楷体_GBK"/>
          <w:b/>
          <w:bCs/>
          <w:kern w:val="0"/>
          <w:sz w:val="24"/>
          <w:szCs w:val="24"/>
        </w:rPr>
      </w:pPr>
    </w:p>
    <w:p w:rsidR="00576CAD" w:rsidRDefault="00576CAD">
      <w:pPr>
        <w:spacing w:line="360" w:lineRule="auto"/>
        <w:ind w:firstLineChars="518" w:firstLine="1243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</w:p>
    <w:p w:rsidR="00576CAD" w:rsidRDefault="00576CAD">
      <w:pPr>
        <w:spacing w:line="360" w:lineRule="auto"/>
        <w:ind w:firstLineChars="518" w:firstLine="1243"/>
        <w:jc w:val="left"/>
        <w:rPr>
          <w:rFonts w:ascii="Times New Roman" w:eastAsia="仿宋" w:hAnsi="Times New Roman"/>
          <w:kern w:val="0"/>
          <w:sz w:val="24"/>
          <w:szCs w:val="24"/>
        </w:rPr>
      </w:pPr>
    </w:p>
    <w:p w:rsidR="00576CAD" w:rsidRDefault="00576CAD">
      <w:pPr>
        <w:spacing w:line="360" w:lineRule="auto"/>
        <w:ind w:firstLineChars="518" w:firstLine="1243"/>
        <w:jc w:val="left"/>
        <w:rPr>
          <w:rFonts w:ascii="Times New Roman" w:eastAsia="仿宋" w:hAnsi="Times New Roman"/>
          <w:kern w:val="0"/>
          <w:sz w:val="24"/>
          <w:szCs w:val="24"/>
        </w:rPr>
      </w:pPr>
    </w:p>
    <w:p w:rsidR="00576CAD" w:rsidRDefault="00576CAD">
      <w:pPr>
        <w:spacing w:line="360" w:lineRule="auto"/>
        <w:ind w:firstLineChars="518" w:firstLine="1243"/>
        <w:jc w:val="left"/>
        <w:rPr>
          <w:rFonts w:ascii="Times New Roman" w:eastAsia="仿宋" w:hAnsi="Times New Roman"/>
          <w:kern w:val="0"/>
          <w:sz w:val="24"/>
          <w:szCs w:val="24"/>
        </w:rPr>
      </w:pPr>
    </w:p>
    <w:p w:rsidR="00576CAD" w:rsidRDefault="00576CAD">
      <w:pPr>
        <w:spacing w:line="360" w:lineRule="auto"/>
        <w:ind w:firstLineChars="518" w:firstLine="1243"/>
        <w:jc w:val="left"/>
        <w:rPr>
          <w:rFonts w:ascii="Times New Roman" w:eastAsia="仿宋" w:hAnsi="Times New Roman"/>
          <w:kern w:val="0"/>
          <w:sz w:val="24"/>
          <w:szCs w:val="24"/>
        </w:rPr>
      </w:pPr>
    </w:p>
    <w:p w:rsidR="00576CAD" w:rsidRDefault="00576CAD">
      <w:pPr>
        <w:spacing w:line="360" w:lineRule="auto"/>
        <w:ind w:firstLineChars="518" w:firstLine="1243"/>
        <w:jc w:val="left"/>
        <w:rPr>
          <w:rFonts w:ascii="Times New Roman" w:eastAsia="仿宋" w:hAnsi="Times New Roman"/>
          <w:kern w:val="0"/>
          <w:sz w:val="24"/>
          <w:szCs w:val="24"/>
        </w:rPr>
      </w:pPr>
    </w:p>
    <w:p w:rsidR="00576CAD" w:rsidRDefault="00576CAD">
      <w:pPr>
        <w:spacing w:line="360" w:lineRule="auto"/>
        <w:rPr>
          <w:rFonts w:ascii="Times New Roman" w:eastAsia="仿宋_GB2312" w:hAnsi="Times New Roman"/>
          <w:kern w:val="0"/>
          <w:sz w:val="24"/>
          <w:szCs w:val="24"/>
        </w:rPr>
        <w:sectPr w:rsidR="00576CAD">
          <w:footerReference w:type="even" r:id="rId7"/>
          <w:footerReference w:type="default" r:id="rId8"/>
          <w:pgSz w:w="11906" w:h="16838"/>
          <w:pgMar w:top="1928" w:right="1531" w:bottom="1928" w:left="1531" w:header="851" w:footer="1474" w:gutter="0"/>
          <w:pgNumType w:fmt="numberInDash" w:start="1"/>
          <w:cols w:space="720"/>
          <w:docGrid w:type="lines" w:linePitch="312"/>
        </w:sectPr>
      </w:pPr>
    </w:p>
    <w:p w:rsidR="00576CAD" w:rsidRDefault="00576CAD">
      <w:pPr>
        <w:spacing w:line="360" w:lineRule="auto"/>
        <w:rPr>
          <w:rFonts w:ascii="Times New Roman" w:eastAsia="仿宋_GB2312" w:hAnsi="Times New Roman"/>
          <w:kern w:val="0"/>
          <w:sz w:val="24"/>
          <w:szCs w:val="24"/>
        </w:rPr>
      </w:pPr>
    </w:p>
    <w:tbl>
      <w:tblPr>
        <w:tblW w:w="9514" w:type="dxa"/>
        <w:jc w:val="center"/>
        <w:tblLayout w:type="fixed"/>
        <w:tblLook w:val="04A0"/>
      </w:tblPr>
      <w:tblGrid>
        <w:gridCol w:w="1204"/>
        <w:gridCol w:w="1580"/>
        <w:gridCol w:w="4330"/>
        <w:gridCol w:w="720"/>
        <w:gridCol w:w="705"/>
        <w:gridCol w:w="975"/>
      </w:tblGrid>
      <w:tr w:rsidR="00576CAD">
        <w:trPr>
          <w:trHeight w:val="480"/>
          <w:jc w:val="center"/>
        </w:trPr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一级指标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主要观测点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得</w:t>
            </w: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分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得分</w:t>
            </w:r>
          </w:p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依据</w:t>
            </w: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问题与</w:t>
            </w:r>
          </w:p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短板</w:t>
            </w:r>
          </w:p>
        </w:tc>
      </w:tr>
      <w:tr w:rsidR="00576CAD">
        <w:trPr>
          <w:trHeight w:val="734"/>
          <w:jc w:val="center"/>
        </w:trPr>
        <w:tc>
          <w:tcPr>
            <w:tcW w:w="12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人才培养</w:t>
            </w:r>
          </w:p>
          <w:p w:rsidR="00576CAD" w:rsidRDefault="00863EAA">
            <w:pPr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30%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）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思想政治教育成效</w:t>
            </w:r>
            <w:r w:rsidR="002C3AF2"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 w:rsidR="002C3AF2">
              <w:rPr>
                <w:rFonts w:ascii="Times New Roman" w:hAnsi="Times New Roman" w:hint="eastAsia"/>
                <w:kern w:val="0"/>
                <w:szCs w:val="21"/>
              </w:rPr>
              <w:t>8</w:t>
            </w:r>
            <w:r w:rsidR="002C3AF2"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立德树人、思想政治教育的措施及成效，课程思政、专业思政、学科思政的措施及成效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520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培养过程质量</w:t>
            </w:r>
            <w:r w:rsidR="002C3AF2"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 w:rsidR="002C3AF2">
              <w:rPr>
                <w:rFonts w:ascii="Times New Roman" w:hAnsi="Times New Roman" w:hint="eastAsia"/>
                <w:kern w:val="0"/>
                <w:szCs w:val="21"/>
              </w:rPr>
              <w:t>10</w:t>
            </w:r>
            <w:r w:rsidR="002C3AF2"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国家教学成果奖（项）</w:t>
            </w:r>
          </w:p>
        </w:tc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369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省级教学成果奖</w:t>
            </w:r>
          </w:p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其中：一等奖以上（项）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国家级一流课程、国家精品视频公开课、国家精品资源共享课（门）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689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科研育人成效（学生通过科研活动提升科研能力和学士素养的满意度和成长度）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648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国家专业综合改革试点专业、特色专业、“双万专业”数（个）（重复的只计算一个专业）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省优势、特色专业数（个）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400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通过国家专业认证、专业评估专业数（个）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445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国家级大学生创新创业训练计划项目数（个）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获得教育部深化创新创业教育改革示范高校称号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国家级规划教材（部）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644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中国“互联网</w:t>
            </w:r>
            <w:r>
              <w:rPr>
                <w:rFonts w:ascii="Times New Roman" w:hAnsi="Times New Roman" w:hint="eastAsia"/>
                <w:kern w:val="0"/>
                <w:szCs w:val="21"/>
              </w:rPr>
              <w:t>+</w:t>
            </w:r>
            <w:r>
              <w:rPr>
                <w:rFonts w:ascii="Times New Roman" w:hAnsi="Times New Roman" w:hint="eastAsia"/>
                <w:kern w:val="0"/>
                <w:szCs w:val="21"/>
              </w:rPr>
              <w:t>”大学生创新创业大赛等国家</w:t>
            </w:r>
            <w:r>
              <w:rPr>
                <w:rFonts w:ascii="Times New Roman" w:hAnsi="Times New Roman" w:hint="eastAsia"/>
                <w:kern w:val="0"/>
                <w:szCs w:val="21"/>
              </w:rPr>
              <w:t>A</w:t>
            </w:r>
            <w:r>
              <w:rPr>
                <w:rFonts w:ascii="Times New Roman" w:hAnsi="Times New Roman" w:hint="eastAsia"/>
                <w:kern w:val="0"/>
                <w:szCs w:val="21"/>
              </w:rPr>
              <w:t>类赛事获得一等奖数（项）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430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 w:hint="eastAsia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在校生质量</w:t>
            </w:r>
          </w:p>
          <w:p w:rsidR="002C3AF2" w:rsidRDefault="002C3AF2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5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研究生学位论文抽检优良率（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%</w:t>
            </w:r>
            <w:r>
              <w:rPr>
                <w:rFonts w:ascii="Times New Roman" w:hAnsi="Times New Roman" w:hint="eastAsia"/>
                <w:kern w:val="0"/>
                <w:szCs w:val="21"/>
              </w:rPr>
              <w:t>）</w:t>
            </w:r>
          </w:p>
        </w:tc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490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学生在</w:t>
            </w:r>
            <w:r>
              <w:rPr>
                <w:rFonts w:ascii="Times New Roman" w:hAnsi="Times New Roman" w:hint="eastAsia"/>
                <w:kern w:val="0"/>
                <w:szCs w:val="21"/>
              </w:rPr>
              <w:t>三类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及以上期刊发表论文数（篇）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929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研究生以第一作者在</w:t>
            </w:r>
            <w:r>
              <w:rPr>
                <w:rFonts w:ascii="Times New Roman" w:hAnsi="Times New Roman" w:hint="eastAsia"/>
                <w:kern w:val="0"/>
                <w:szCs w:val="21"/>
              </w:rPr>
              <w:t>SCI</w:t>
            </w:r>
            <w:r>
              <w:rPr>
                <w:rFonts w:ascii="Times New Roman" w:hAnsi="Times New Roman" w:hint="eastAsia"/>
                <w:kern w:val="0"/>
                <w:szCs w:val="21"/>
              </w:rPr>
              <w:t>、</w:t>
            </w:r>
            <w:r>
              <w:rPr>
                <w:rFonts w:ascii="Times New Roman" w:hAnsi="Times New Roman" w:hint="eastAsia"/>
                <w:kern w:val="0"/>
                <w:szCs w:val="21"/>
              </w:rPr>
              <w:t>SSCI</w:t>
            </w:r>
            <w:r>
              <w:rPr>
                <w:rFonts w:ascii="Times New Roman" w:hAnsi="Times New Roman" w:hint="eastAsia"/>
                <w:kern w:val="0"/>
                <w:szCs w:val="21"/>
              </w:rPr>
              <w:t>、</w:t>
            </w:r>
            <w:r>
              <w:rPr>
                <w:rFonts w:ascii="Times New Roman" w:hAnsi="Times New Roman" w:hint="eastAsia"/>
                <w:kern w:val="0"/>
                <w:szCs w:val="21"/>
              </w:rPr>
              <w:t>EI</w:t>
            </w:r>
            <w:r>
              <w:rPr>
                <w:rFonts w:ascii="Times New Roman" w:hAnsi="Times New Roman" w:hint="eastAsia"/>
                <w:kern w:val="0"/>
                <w:szCs w:val="21"/>
              </w:rPr>
              <w:t>、</w:t>
            </w:r>
            <w:r>
              <w:rPr>
                <w:rFonts w:ascii="Times New Roman" w:hAnsi="Times New Roman" w:hint="eastAsia"/>
                <w:kern w:val="0"/>
                <w:szCs w:val="21"/>
              </w:rPr>
              <w:t>EDLINE</w:t>
            </w:r>
            <w:r>
              <w:rPr>
                <w:rFonts w:ascii="Times New Roman" w:hAnsi="Times New Roman" w:hint="eastAsia"/>
                <w:kern w:val="0"/>
                <w:szCs w:val="21"/>
              </w:rPr>
              <w:t>、</w:t>
            </w:r>
            <w:r>
              <w:rPr>
                <w:rFonts w:ascii="Times New Roman" w:hAnsi="Times New Roman" w:hint="eastAsia"/>
                <w:kern w:val="0"/>
                <w:szCs w:val="21"/>
              </w:rPr>
              <w:t xml:space="preserve">A&amp;HCI </w:t>
            </w:r>
            <w:r>
              <w:rPr>
                <w:rFonts w:ascii="Times New Roman" w:hAnsi="Times New Roman" w:hint="eastAsia"/>
                <w:kern w:val="0"/>
                <w:szCs w:val="21"/>
              </w:rPr>
              <w:t>、</w:t>
            </w:r>
            <w:r>
              <w:rPr>
                <w:rFonts w:ascii="Times New Roman" w:hAnsi="Times New Roman" w:hint="eastAsia"/>
                <w:kern w:val="0"/>
                <w:szCs w:val="21"/>
              </w:rPr>
              <w:t>CSCD</w:t>
            </w:r>
            <w:r>
              <w:rPr>
                <w:rFonts w:ascii="Times New Roman" w:hAnsi="Times New Roman" w:hint="eastAsia"/>
                <w:kern w:val="0"/>
                <w:szCs w:val="21"/>
              </w:rPr>
              <w:t>、</w:t>
            </w:r>
            <w:r>
              <w:rPr>
                <w:rFonts w:ascii="Times New Roman" w:hAnsi="Times New Roman" w:hint="eastAsia"/>
                <w:kern w:val="0"/>
                <w:szCs w:val="21"/>
              </w:rPr>
              <w:t>CSSCI</w:t>
            </w:r>
            <w:r>
              <w:rPr>
                <w:rFonts w:ascii="Times New Roman" w:hAnsi="Times New Roman" w:hint="eastAsia"/>
                <w:kern w:val="0"/>
                <w:szCs w:val="21"/>
              </w:rPr>
              <w:t>收录期刊及在二类及以上期刊发表论文数（篇）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授予学位数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一级学科博士点或博士专业学位类别数（个）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309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一级学科硕士点或硕士专业学位类别数（个）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505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 w:hint="eastAsia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毕业生质量</w:t>
            </w:r>
          </w:p>
          <w:p w:rsidR="002C3AF2" w:rsidRDefault="002C3AF2" w:rsidP="002C3AF2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4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本科生读研率</w:t>
            </w:r>
            <w:bookmarkStart w:id="0" w:name="_GoBack"/>
            <w:bookmarkEnd w:id="0"/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%</w:t>
            </w:r>
            <w:r>
              <w:rPr>
                <w:rFonts w:ascii="Times New Roman" w:hAnsi="Times New Roman" w:hint="eastAsia"/>
                <w:kern w:val="0"/>
                <w:szCs w:val="21"/>
              </w:rPr>
              <w:t>）</w:t>
            </w:r>
          </w:p>
        </w:tc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400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学生就业质量（总体就业质量、优秀毕业生）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419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用人单位评价</w:t>
            </w: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360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人才培养</w:t>
            </w:r>
          </w:p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国际化</w:t>
            </w:r>
            <w:r w:rsidR="002C3AF2"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 w:rsidR="002C3AF2">
              <w:rPr>
                <w:rFonts w:ascii="Times New Roman" w:hAnsi="Times New Roman" w:hint="eastAsia"/>
                <w:kern w:val="0"/>
                <w:szCs w:val="21"/>
              </w:rPr>
              <w:t>3</w:t>
            </w:r>
            <w:r w:rsidR="002C3AF2"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出国（境）交流（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3</w:t>
            </w:r>
            <w:r>
              <w:rPr>
                <w:rFonts w:ascii="Times New Roman" w:hAnsi="Times New Roman" w:hint="eastAsia"/>
                <w:kern w:val="0"/>
                <w:szCs w:val="21"/>
              </w:rPr>
              <w:t>个月及以上）学生占比（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%</w:t>
            </w:r>
            <w:r>
              <w:rPr>
                <w:rFonts w:ascii="Times New Roman" w:hAnsi="Times New Roman" w:hint="eastAsia"/>
                <w:kern w:val="0"/>
                <w:szCs w:val="21"/>
              </w:rPr>
              <w:t>）</w:t>
            </w:r>
          </w:p>
        </w:tc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455"/>
          <w:jc w:val="center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学历留学生数（人）</w:t>
            </w:r>
          </w:p>
        </w:tc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page" w:tblpX="1352" w:tblpY="16"/>
        <w:tblOverlap w:val="never"/>
        <w:tblW w:w="9427" w:type="dxa"/>
        <w:tblLayout w:type="fixed"/>
        <w:tblLook w:val="04A0"/>
      </w:tblPr>
      <w:tblGrid>
        <w:gridCol w:w="1204"/>
        <w:gridCol w:w="1580"/>
        <w:gridCol w:w="3955"/>
        <w:gridCol w:w="770"/>
        <w:gridCol w:w="900"/>
        <w:gridCol w:w="1018"/>
      </w:tblGrid>
      <w:tr w:rsidR="00576CAD">
        <w:trPr>
          <w:trHeight w:val="285"/>
        </w:trPr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lastRenderedPageBreak/>
              <w:t>一级指标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主要观测点</w:t>
            </w:r>
          </w:p>
        </w:tc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得</w:t>
            </w: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分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得分</w:t>
            </w:r>
          </w:p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依据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问题与</w:t>
            </w:r>
          </w:p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短板</w:t>
            </w:r>
          </w:p>
        </w:tc>
      </w:tr>
      <w:tr w:rsidR="00576CAD">
        <w:trPr>
          <w:trHeight w:val="285"/>
        </w:trPr>
        <w:tc>
          <w:tcPr>
            <w:tcW w:w="12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师资队伍</w:t>
            </w:r>
          </w:p>
          <w:p w:rsidR="00576CAD" w:rsidRDefault="00863EAA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kern w:val="0"/>
                <w:sz w:val="24"/>
                <w:szCs w:val="24"/>
              </w:rPr>
              <w:t xml:space="preserve"> </w:t>
            </w:r>
          </w:p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hint="eastAsia"/>
                <w:kern w:val="0"/>
                <w:sz w:val="24"/>
                <w:szCs w:val="24"/>
              </w:rPr>
              <w:t>10</w:t>
            </w:r>
            <w:r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）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师德师风建设</w:t>
            </w:r>
            <w:r w:rsidR="002C3AF2"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 w:rsidR="002C3AF2">
              <w:rPr>
                <w:rFonts w:ascii="Times New Roman" w:hAnsi="Times New Roman" w:hint="eastAsia"/>
                <w:kern w:val="0"/>
                <w:szCs w:val="21"/>
              </w:rPr>
              <w:t>2</w:t>
            </w:r>
            <w:r w:rsidR="002C3AF2"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师德师风机制建设的体制机制、总体情况、正面典型、负面事件处理情况</w:t>
            </w:r>
          </w:p>
        </w:tc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教师队伍</w:t>
            </w:r>
          </w:p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 w:hint="eastAsia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结构质量</w:t>
            </w:r>
          </w:p>
          <w:p w:rsidR="002C3AF2" w:rsidRDefault="002C3AF2">
            <w:pPr>
              <w:widowControl/>
              <w:snapToGrid w:val="0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4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专任教师总数（人）</w:t>
            </w:r>
          </w:p>
        </w:tc>
        <w:tc>
          <w:tcPr>
            <w:tcW w:w="7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31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其中：国家级人才（人）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其中：省级人才（人）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博士学位教师占比（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%</w:t>
            </w:r>
            <w:r>
              <w:rPr>
                <w:rFonts w:ascii="Times New Roman" w:hAnsi="Times New Roman" w:hint="eastAsia"/>
                <w:kern w:val="0"/>
                <w:szCs w:val="21"/>
              </w:rPr>
              <w:t>）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45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周岁以下青年教师占比（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%</w:t>
            </w:r>
            <w:r>
              <w:rPr>
                <w:rFonts w:ascii="Times New Roman" w:hAnsi="Times New Roman" w:hint="eastAsia"/>
                <w:kern w:val="0"/>
                <w:szCs w:val="21"/>
              </w:rPr>
              <w:t>）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具有海外学习经历教师占比（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%</w:t>
            </w:r>
            <w:r>
              <w:rPr>
                <w:rFonts w:ascii="Times New Roman" w:hAnsi="Times New Roman" w:hint="eastAsia"/>
                <w:kern w:val="0"/>
                <w:szCs w:val="21"/>
              </w:rPr>
              <w:t>）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国家级创新团队数（个）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省部级创新团队数（个）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师资</w:t>
            </w:r>
            <w:r>
              <w:rPr>
                <w:rFonts w:ascii="Times New Roman" w:hAnsi="Times New Roman" w:hint="eastAsia"/>
                <w:kern w:val="0"/>
                <w:szCs w:val="21"/>
              </w:rPr>
              <w:t>队伍</w:t>
            </w:r>
          </w:p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 w:hint="eastAsia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国际化</w:t>
            </w:r>
          </w:p>
          <w:p w:rsidR="002C3AF2" w:rsidRDefault="002C3AF2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2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3</w:t>
            </w:r>
            <w:r>
              <w:rPr>
                <w:rFonts w:ascii="Times New Roman" w:hAnsi="Times New Roman" w:hint="eastAsia"/>
                <w:kern w:val="0"/>
                <w:szCs w:val="21"/>
              </w:rPr>
              <w:t>个月及以上出国（境）访学（研修）教师占比（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%</w:t>
            </w:r>
            <w:r>
              <w:rPr>
                <w:rFonts w:ascii="Times New Roman" w:hAnsi="Times New Roman" w:hint="eastAsia"/>
                <w:kern w:val="0"/>
                <w:szCs w:val="21"/>
              </w:rPr>
              <w:t>）</w:t>
            </w:r>
          </w:p>
        </w:tc>
        <w:tc>
          <w:tcPr>
            <w:tcW w:w="7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其中：</w:t>
            </w:r>
            <w:r>
              <w:rPr>
                <w:rFonts w:ascii="Times New Roman" w:hAnsi="Times New Roman" w:hint="eastAsia"/>
                <w:kern w:val="0"/>
                <w:szCs w:val="21"/>
              </w:rPr>
              <w:t>6</w:t>
            </w:r>
            <w:r>
              <w:rPr>
                <w:rFonts w:ascii="Times New Roman" w:hAnsi="Times New Roman" w:hint="eastAsia"/>
                <w:kern w:val="0"/>
                <w:szCs w:val="21"/>
              </w:rPr>
              <w:t>个月及以上占比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其中：</w:t>
            </w:r>
            <w:r>
              <w:rPr>
                <w:rFonts w:ascii="Times New Roman" w:hAnsi="Times New Roman" w:hint="eastAsia"/>
                <w:kern w:val="0"/>
                <w:szCs w:val="21"/>
              </w:rPr>
              <w:t>1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年及以上占比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聘请外国专家人数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90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3AF2" w:rsidRDefault="00863EAA">
            <w:pPr>
              <w:widowControl/>
              <w:snapToGrid w:val="0"/>
              <w:jc w:val="center"/>
              <w:rPr>
                <w:rFonts w:ascii="Times New Roman" w:hAnsi="Times New Roman" w:hint="eastAsia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人才引进</w:t>
            </w:r>
          </w:p>
          <w:p w:rsidR="00576CAD" w:rsidRDefault="002C3AF2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2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人才引进的措施及成效，人才引进成功的典型案例</w:t>
            </w:r>
          </w:p>
        </w:tc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687"/>
        </w:trPr>
        <w:tc>
          <w:tcPr>
            <w:tcW w:w="12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支撑</w:t>
            </w:r>
          </w:p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平台建设</w:t>
            </w:r>
          </w:p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10%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 w:hint="eastAsia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教学平台</w:t>
            </w:r>
          </w:p>
          <w:p w:rsidR="002C3AF2" w:rsidRDefault="002C3AF2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5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国家教学平台（个）</w:t>
            </w:r>
          </w:p>
        </w:tc>
        <w:tc>
          <w:tcPr>
            <w:tcW w:w="7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37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省级教学平台数（个）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550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国家级教学改革项目（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项</w:t>
            </w:r>
            <w:r>
              <w:rPr>
                <w:rFonts w:ascii="Times New Roman" w:hAnsi="Times New Roman" w:hint="eastAsia"/>
                <w:kern w:val="0"/>
                <w:szCs w:val="21"/>
              </w:rPr>
              <w:t>）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 w:hint="eastAsia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科研平台</w:t>
            </w:r>
          </w:p>
          <w:p w:rsidR="002C3AF2" w:rsidRDefault="002C3AF2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5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国家级科研创新平台数（个）</w:t>
            </w:r>
          </w:p>
        </w:tc>
        <w:tc>
          <w:tcPr>
            <w:tcW w:w="7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省部级科研创新平台数（个）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165"/>
        </w:trPr>
        <w:tc>
          <w:tcPr>
            <w:tcW w:w="12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科学研究</w:t>
            </w:r>
          </w:p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20%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科研项目</w:t>
            </w:r>
          </w:p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 w:hint="eastAsia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与经费</w:t>
            </w:r>
          </w:p>
          <w:p w:rsidR="002C3AF2" w:rsidRDefault="002C3AF2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5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主持国家级科研项目数（项）</w:t>
            </w:r>
          </w:p>
        </w:tc>
        <w:tc>
          <w:tcPr>
            <w:tcW w:w="7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其中：重点、重大项目数（项）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主持省部级科研项目数（项）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其中：重点、重大项目数（项）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师均科研经费（万元）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 w:hint="eastAsia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科研成果</w:t>
            </w:r>
          </w:p>
          <w:p w:rsidR="002C3AF2" w:rsidRDefault="002C3AF2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5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3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在</w:t>
            </w:r>
            <w:r>
              <w:rPr>
                <w:rFonts w:ascii="Times New Roman" w:hAnsi="Times New Roman" w:hint="eastAsia"/>
                <w:kern w:val="0"/>
                <w:szCs w:val="21"/>
              </w:rPr>
              <w:t>SCI</w:t>
            </w:r>
            <w:r>
              <w:rPr>
                <w:rFonts w:ascii="Times New Roman" w:hAnsi="Times New Roman" w:hint="eastAsia"/>
                <w:kern w:val="0"/>
                <w:szCs w:val="21"/>
              </w:rPr>
              <w:t>、</w:t>
            </w:r>
            <w:r>
              <w:rPr>
                <w:rFonts w:ascii="Times New Roman" w:hAnsi="Times New Roman" w:hint="eastAsia"/>
                <w:kern w:val="0"/>
                <w:szCs w:val="21"/>
              </w:rPr>
              <w:t>SSCI</w:t>
            </w:r>
            <w:r>
              <w:rPr>
                <w:rFonts w:ascii="Times New Roman" w:hAnsi="Times New Roman" w:hint="eastAsia"/>
                <w:kern w:val="0"/>
                <w:szCs w:val="21"/>
              </w:rPr>
              <w:t>、</w:t>
            </w:r>
            <w:r>
              <w:rPr>
                <w:rFonts w:ascii="Times New Roman" w:hAnsi="Times New Roman" w:hint="eastAsia"/>
                <w:kern w:val="0"/>
                <w:szCs w:val="21"/>
              </w:rPr>
              <w:t>EI</w:t>
            </w:r>
            <w:r>
              <w:rPr>
                <w:rFonts w:ascii="Times New Roman" w:hAnsi="Times New Roman" w:hint="eastAsia"/>
                <w:kern w:val="0"/>
                <w:szCs w:val="21"/>
              </w:rPr>
              <w:t>、</w:t>
            </w:r>
            <w:r>
              <w:rPr>
                <w:rFonts w:ascii="Times New Roman" w:hAnsi="Times New Roman" w:hint="eastAsia"/>
                <w:kern w:val="0"/>
                <w:szCs w:val="21"/>
              </w:rPr>
              <w:t>MEDLINE</w:t>
            </w:r>
            <w:r>
              <w:rPr>
                <w:rFonts w:ascii="Times New Roman" w:hAnsi="Times New Roman" w:hint="eastAsia"/>
                <w:kern w:val="0"/>
                <w:szCs w:val="21"/>
              </w:rPr>
              <w:t>、</w:t>
            </w:r>
            <w:r>
              <w:rPr>
                <w:rFonts w:ascii="Times New Roman" w:hAnsi="Times New Roman" w:hint="eastAsia"/>
                <w:kern w:val="0"/>
                <w:szCs w:val="21"/>
              </w:rPr>
              <w:t>A&amp;HCI</w:t>
            </w:r>
            <w:r>
              <w:rPr>
                <w:rFonts w:ascii="Times New Roman" w:hAnsi="Times New Roman" w:hint="eastAsia"/>
                <w:kern w:val="0"/>
                <w:szCs w:val="21"/>
              </w:rPr>
              <w:t>、</w:t>
            </w:r>
            <w:r>
              <w:rPr>
                <w:rFonts w:ascii="Times New Roman" w:hAnsi="Times New Roman" w:hint="eastAsia"/>
                <w:kern w:val="0"/>
                <w:szCs w:val="21"/>
              </w:rPr>
              <w:t>CSCD</w:t>
            </w:r>
            <w:r>
              <w:rPr>
                <w:rFonts w:ascii="Times New Roman" w:hAnsi="Times New Roman" w:hint="eastAsia"/>
                <w:kern w:val="0"/>
                <w:szCs w:val="21"/>
              </w:rPr>
              <w:t>、</w:t>
            </w:r>
            <w:r>
              <w:rPr>
                <w:rFonts w:ascii="Times New Roman" w:hAnsi="Times New Roman" w:hint="eastAsia"/>
                <w:kern w:val="0"/>
                <w:szCs w:val="21"/>
              </w:rPr>
              <w:t>CSSCI</w:t>
            </w:r>
            <w:r>
              <w:rPr>
                <w:rFonts w:ascii="Times New Roman" w:hAnsi="Times New Roman" w:hint="eastAsia"/>
                <w:kern w:val="0"/>
                <w:szCs w:val="21"/>
              </w:rPr>
              <w:t>收录期刊发表论文数（篇）</w:t>
            </w:r>
          </w:p>
        </w:tc>
        <w:tc>
          <w:tcPr>
            <w:tcW w:w="7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863EAA">
            <w:pPr>
              <w:widowControl/>
              <w:snapToGrid w:val="0"/>
              <w:ind w:firstLineChars="100" w:firstLine="210"/>
              <w:jc w:val="left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其中：</w:t>
            </w:r>
            <w:r>
              <w:rPr>
                <w:rFonts w:ascii="Times New Roman" w:hAnsi="Times New Roman" w:hint="eastAsia"/>
                <w:kern w:val="0"/>
                <w:szCs w:val="21"/>
              </w:rPr>
              <w:t>A</w:t>
            </w:r>
            <w:r>
              <w:rPr>
                <w:rFonts w:ascii="Times New Roman" w:hAnsi="Times New Roman" w:hint="eastAsia"/>
                <w:kern w:val="0"/>
                <w:szCs w:val="21"/>
              </w:rPr>
              <w:t>类</w:t>
            </w:r>
            <w:r>
              <w:rPr>
                <w:rFonts w:ascii="Times New Roman" w:hAnsi="Times New Roman"/>
                <w:kern w:val="0"/>
                <w:szCs w:val="21"/>
              </w:rPr>
              <w:t>期刊论文数</w:t>
            </w:r>
          </w:p>
        </w:tc>
        <w:tc>
          <w:tcPr>
            <w:tcW w:w="770" w:type="dxa"/>
            <w:vMerge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863EAA">
            <w:pPr>
              <w:widowControl/>
              <w:snapToGrid w:val="0"/>
              <w:ind w:firstLineChars="100" w:firstLine="210"/>
              <w:jc w:val="left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其中：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SCI top</w:t>
            </w:r>
            <w:r>
              <w:rPr>
                <w:rFonts w:ascii="Times New Roman" w:hAnsi="Times New Roman"/>
                <w:kern w:val="0"/>
                <w:szCs w:val="21"/>
              </w:rPr>
              <w:t>收录期刊论文数（篇）</w:t>
            </w:r>
          </w:p>
        </w:tc>
        <w:tc>
          <w:tcPr>
            <w:tcW w:w="7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162"/>
        </w:trPr>
        <w:tc>
          <w:tcPr>
            <w:tcW w:w="120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出版著作（部）</w:t>
            </w:r>
          </w:p>
        </w:tc>
        <w:tc>
          <w:tcPr>
            <w:tcW w:w="7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授权发明专利（件）</w:t>
            </w:r>
            <w:r>
              <w:rPr>
                <w:rFonts w:ascii="Times New Roman" w:hAnsi="Times New Roman" w:hint="eastAsia"/>
                <w:b/>
                <w:bCs/>
                <w:kern w:val="0"/>
                <w:szCs w:val="21"/>
              </w:rPr>
              <w:t>及师均授权专利数</w:t>
            </w:r>
          </w:p>
        </w:tc>
        <w:tc>
          <w:tcPr>
            <w:tcW w:w="7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本学科</w:t>
            </w:r>
            <w:r>
              <w:rPr>
                <w:rFonts w:ascii="Times New Roman" w:hAnsi="Times New Roman" w:hint="eastAsia"/>
                <w:b/>
                <w:bCs/>
                <w:kern w:val="0"/>
                <w:szCs w:val="21"/>
              </w:rPr>
              <w:t>具有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原创性、突破性</w:t>
            </w:r>
            <w:r>
              <w:rPr>
                <w:rFonts w:ascii="Times New Roman" w:hAnsi="Times New Roman" w:hint="eastAsia"/>
                <w:b/>
                <w:bCs/>
                <w:kern w:val="0"/>
                <w:szCs w:val="21"/>
              </w:rPr>
              <w:t>和前沿性的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标志性</w:t>
            </w:r>
            <w:r>
              <w:rPr>
                <w:rFonts w:ascii="Times New Roman" w:hAnsi="Times New Roman" w:hint="eastAsia"/>
                <w:b/>
                <w:bCs/>
                <w:kern w:val="0"/>
                <w:szCs w:val="21"/>
              </w:rPr>
              <w:t>成果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，说明</w:t>
            </w:r>
            <w:r>
              <w:rPr>
                <w:rFonts w:ascii="Times New Roman" w:hAnsi="Times New Roman" w:hint="eastAsia"/>
                <w:b/>
                <w:bCs/>
                <w:kern w:val="0"/>
                <w:szCs w:val="21"/>
              </w:rPr>
              <w:t>其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转化应用和解决实际问题的情况</w:t>
            </w:r>
          </w:p>
        </w:tc>
        <w:tc>
          <w:tcPr>
            <w:tcW w:w="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</w:tbl>
    <w:p w:rsidR="00576CAD" w:rsidRDefault="00576CAD"/>
    <w:p w:rsidR="00576CAD" w:rsidRDefault="00576CAD"/>
    <w:tbl>
      <w:tblPr>
        <w:tblpPr w:leftFromText="180" w:rightFromText="180" w:vertAnchor="text" w:horzAnchor="page" w:tblpX="1352" w:tblpY="16"/>
        <w:tblOverlap w:val="never"/>
        <w:tblW w:w="9427" w:type="dxa"/>
        <w:tblLayout w:type="fixed"/>
        <w:tblLook w:val="04A0"/>
      </w:tblPr>
      <w:tblGrid>
        <w:gridCol w:w="1204"/>
        <w:gridCol w:w="1580"/>
        <w:gridCol w:w="4176"/>
        <w:gridCol w:w="735"/>
        <w:gridCol w:w="714"/>
        <w:gridCol w:w="1018"/>
      </w:tblGrid>
      <w:tr w:rsidR="00576CAD">
        <w:trPr>
          <w:trHeight w:val="285"/>
        </w:trPr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lastRenderedPageBreak/>
              <w:t>一级指标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主要观测点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得</w:t>
            </w: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分</w:t>
            </w:r>
          </w:p>
        </w:tc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得分</w:t>
            </w:r>
          </w:p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依据</w:t>
            </w:r>
          </w:p>
        </w:tc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问题与</w:t>
            </w:r>
          </w:p>
          <w:p w:rsidR="00576CAD" w:rsidRDefault="00863EAA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短板</w:t>
            </w:r>
          </w:p>
        </w:tc>
      </w:tr>
      <w:tr w:rsidR="00576CAD">
        <w:trPr>
          <w:trHeight w:val="285"/>
        </w:trPr>
        <w:tc>
          <w:tcPr>
            <w:tcW w:w="12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科学研究</w:t>
            </w:r>
          </w:p>
          <w:p w:rsidR="00576CAD" w:rsidRDefault="00863EAA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20%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 w:hint="eastAsia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成果奖励</w:t>
            </w:r>
          </w:p>
          <w:p w:rsidR="002C3AF2" w:rsidRDefault="002C3AF2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5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获国家级成果奖励（项）</w:t>
            </w:r>
          </w:p>
        </w:tc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获省部级成果奖励（项）</w:t>
            </w:r>
          </w:p>
          <w:p w:rsidR="00576CAD" w:rsidRDefault="00863EAA">
            <w:pPr>
              <w:widowControl/>
              <w:snapToGrid w:val="0"/>
              <w:jc w:val="left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其中：一等奖（项）</w:t>
            </w: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Cs w:val="21"/>
              </w:rPr>
              <w:t>获得得到社会广泛认可的国家级行业学会等社会奖励（项）</w:t>
            </w:r>
          </w:p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其中：一等奖（项）</w:t>
            </w: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44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重要国际奖励（项）</w:t>
            </w: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center"/>
              <w:rPr>
                <w:rFonts w:ascii="Times New Roman" w:hAnsi="Times New Roman" w:hint="eastAsia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对外交流合作</w:t>
            </w:r>
          </w:p>
          <w:p w:rsidR="002C3AF2" w:rsidRDefault="002C3AF2">
            <w:pPr>
              <w:snapToGrid w:val="0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5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国际科研合作项目数（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项</w:t>
            </w:r>
            <w:r>
              <w:rPr>
                <w:rFonts w:ascii="Times New Roman" w:hAnsi="Times New Roman"/>
                <w:kern w:val="0"/>
                <w:szCs w:val="21"/>
              </w:rPr>
              <w:t>）</w:t>
            </w:r>
          </w:p>
        </w:tc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国际科研合作平台数（个）</w:t>
            </w: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主办国际学术会议（次）</w:t>
            </w: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snapToGrid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参加国际学术会议人次（次）</w:t>
            </w: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3"/>
        </w:trPr>
        <w:tc>
          <w:tcPr>
            <w:tcW w:w="12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snapToGrid w:val="0"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社会服务与学科声誉（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30%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hAnsi="Times New Roman" w:hint="eastAsia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社会服务</w:t>
            </w:r>
          </w:p>
          <w:p w:rsidR="002C3AF2" w:rsidRDefault="002C3AF2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20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学科定位与特色</w:t>
            </w:r>
          </w:p>
        </w:tc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横向课题</w:t>
            </w:r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10</w:t>
            </w:r>
            <w:r>
              <w:rPr>
                <w:rFonts w:ascii="Times New Roman" w:hAnsi="Times New Roman" w:hint="eastAsia"/>
                <w:kern w:val="0"/>
                <w:szCs w:val="21"/>
              </w:rPr>
              <w:t>万元以上）</w:t>
            </w:r>
            <w:r>
              <w:rPr>
                <w:rFonts w:ascii="Times New Roman" w:hAnsi="Times New Roman"/>
                <w:kern w:val="0"/>
                <w:szCs w:val="21"/>
              </w:rPr>
              <w:t>到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帐</w:t>
            </w:r>
            <w:r>
              <w:rPr>
                <w:rFonts w:ascii="Times New Roman" w:hAnsi="Times New Roman"/>
                <w:kern w:val="0"/>
                <w:szCs w:val="21"/>
              </w:rPr>
              <w:t>经费（万元）</w:t>
            </w: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横向课题</w:t>
            </w:r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10</w:t>
            </w:r>
            <w:r>
              <w:rPr>
                <w:rFonts w:ascii="Times New Roman" w:hAnsi="Times New Roman" w:hint="eastAsia"/>
                <w:kern w:val="0"/>
                <w:szCs w:val="21"/>
              </w:rPr>
              <w:t>万元以上）</w:t>
            </w:r>
            <w:r>
              <w:rPr>
                <w:rFonts w:ascii="Times New Roman" w:hAnsi="Times New Roman"/>
                <w:kern w:val="0"/>
                <w:szCs w:val="21"/>
              </w:rPr>
              <w:t>项目数（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项</w:t>
            </w:r>
            <w:r>
              <w:rPr>
                <w:rFonts w:ascii="Times New Roman" w:hAnsi="Times New Roman"/>
                <w:kern w:val="0"/>
                <w:szCs w:val="21"/>
              </w:rPr>
              <w:t>）</w:t>
            </w: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省部级以上</w:t>
            </w:r>
            <w:r>
              <w:rPr>
                <w:rFonts w:ascii="Times New Roman" w:hAnsi="Times New Roman"/>
                <w:kern w:val="0"/>
                <w:szCs w:val="21"/>
              </w:rPr>
              <w:t>产学研平台（个）</w:t>
            </w: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eastAsia="仿宋_GB2312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科技成果转化收入（万元）</w:t>
            </w: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Cs w:val="21"/>
              </w:rPr>
              <w:t>获得重要批示的报告、参与重大政策制定、参与重大规划编制、提供行业标准咨询等情况</w:t>
            </w: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开展扶贫攻坚和对口帮扶及其他社会服务的优秀案例</w:t>
            </w: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285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学术兼职</w:t>
            </w:r>
          </w:p>
          <w:p w:rsidR="00576CAD" w:rsidRDefault="00863EAA">
            <w:pPr>
              <w:snapToGrid w:val="0"/>
              <w:jc w:val="center"/>
              <w:rPr>
                <w:rFonts w:ascii="Times New Roman" w:hAnsi="Times New Roman" w:hint="eastAsia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学科排名</w:t>
            </w:r>
          </w:p>
          <w:p w:rsidR="002C3AF2" w:rsidRDefault="002C3AF2">
            <w:pPr>
              <w:snapToGrid w:val="0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（</w:t>
            </w:r>
            <w:r>
              <w:rPr>
                <w:rFonts w:ascii="Times New Roman" w:hAnsi="Times New Roman" w:hint="eastAsia"/>
                <w:kern w:val="0"/>
                <w:szCs w:val="21"/>
              </w:rPr>
              <w:t>10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分）</w:t>
            </w:r>
          </w:p>
        </w:tc>
        <w:tc>
          <w:tcPr>
            <w:tcW w:w="4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在</w:t>
            </w:r>
            <w:r>
              <w:rPr>
                <w:rFonts w:ascii="Times New Roman" w:hAnsi="Times New Roman" w:hint="eastAsia"/>
                <w:kern w:val="0"/>
                <w:szCs w:val="21"/>
              </w:rPr>
              <w:t>国内</w:t>
            </w:r>
            <w:r>
              <w:rPr>
                <w:rFonts w:ascii="Times New Roman" w:hAnsi="Times New Roman"/>
                <w:kern w:val="0"/>
                <w:szCs w:val="21"/>
              </w:rPr>
              <w:t>重要学术</w:t>
            </w:r>
            <w:r>
              <w:rPr>
                <w:rFonts w:ascii="Times New Roman" w:eastAsia="仿宋_GB2312" w:hAnsi="Times New Roman"/>
                <w:kern w:val="0"/>
                <w:szCs w:val="21"/>
              </w:rPr>
              <w:t>/</w:t>
            </w:r>
            <w:r>
              <w:rPr>
                <w:rFonts w:ascii="Times New Roman" w:hAnsi="Times New Roman"/>
                <w:kern w:val="0"/>
                <w:szCs w:val="21"/>
              </w:rPr>
              <w:t>行业组织担任重要职务的人数（人）</w:t>
            </w:r>
          </w:p>
        </w:tc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576CAD">
        <w:trPr>
          <w:trHeight w:val="681"/>
        </w:trPr>
        <w:tc>
          <w:tcPr>
            <w:tcW w:w="1204" w:type="dxa"/>
            <w:vMerge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CAD" w:rsidRDefault="00576CAD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4176" w:type="dxa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CAD" w:rsidRDefault="00863EAA">
            <w:pPr>
              <w:widowControl/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在国际学术组织</w:t>
            </w:r>
            <w:r>
              <w:rPr>
                <w:rFonts w:ascii="Times New Roman" w:hAnsi="Times New Roman" w:hint="eastAsia"/>
                <w:b/>
                <w:bCs/>
                <w:kern w:val="0"/>
                <w:szCs w:val="21"/>
              </w:rPr>
              <w:t>担任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重要职务</w:t>
            </w:r>
            <w:r>
              <w:rPr>
                <w:rFonts w:ascii="Times New Roman" w:hAnsi="Times New Roman" w:hint="eastAsia"/>
                <w:b/>
                <w:bCs/>
                <w:kern w:val="0"/>
                <w:szCs w:val="21"/>
              </w:rPr>
              <w:t>人数（人）</w:t>
            </w:r>
          </w:p>
          <w:p w:rsidR="00576CAD" w:rsidRDefault="00576CAD">
            <w:pPr>
              <w:snapToGrid w:val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35" w:type="dxa"/>
            <w:vMerge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CAD" w:rsidRDefault="00576CAD">
            <w:pPr>
              <w:widowControl/>
              <w:snapToGrid w:val="0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:rsidR="00576CAD" w:rsidRDefault="00576CAD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</w:tbl>
    <w:p w:rsidR="00576CAD" w:rsidRDefault="00863EAA">
      <w:pPr>
        <w:rPr>
          <w:rFonts w:ascii="方正黑体_GBK" w:eastAsia="方正黑体_GBK" w:hAnsi="方正黑体_GBK" w:cs="方正黑体_GBK"/>
          <w:kern w:val="0"/>
          <w:sz w:val="24"/>
          <w:szCs w:val="24"/>
        </w:rPr>
      </w:pPr>
      <w:r>
        <w:rPr>
          <w:rFonts w:ascii="方正黑体_GBK" w:eastAsia="方正黑体_GBK" w:hAnsi="方正黑体_GBK" w:cs="方正黑体_GBK" w:hint="eastAsia"/>
          <w:kern w:val="0"/>
          <w:sz w:val="24"/>
          <w:szCs w:val="24"/>
        </w:rPr>
        <w:t>备注</w:t>
      </w:r>
      <w:r>
        <w:rPr>
          <w:rFonts w:ascii="方正黑体_GBK" w:eastAsia="方正黑体_GBK" w:hAnsi="方正黑体_GBK" w:cs="方正黑体_GBK" w:hint="eastAsia"/>
          <w:kern w:val="0"/>
          <w:sz w:val="24"/>
          <w:szCs w:val="24"/>
        </w:rPr>
        <w:t>：</w:t>
      </w:r>
    </w:p>
    <w:p w:rsidR="00576CAD" w:rsidRDefault="00863EAA">
      <w:pPr>
        <w:adjustRightInd w:val="0"/>
        <w:snapToGrid w:val="0"/>
        <w:spacing w:line="360" w:lineRule="exact"/>
        <w:ind w:firstLineChars="200" w:firstLine="480"/>
        <w:rPr>
          <w:rFonts w:ascii="方正仿宋_GBK" w:eastAsia="方正仿宋_GBK" w:hAnsi="方正仿宋_GBK" w:cs="方正仿宋_GBK"/>
          <w:sz w:val="24"/>
        </w:rPr>
      </w:pPr>
      <w:r>
        <w:rPr>
          <w:rFonts w:ascii="方正仿宋_GBK" w:eastAsia="方正仿宋_GBK" w:hAnsi="方正仿宋_GBK" w:cs="方正仿宋_GBK" w:hint="eastAsia"/>
          <w:sz w:val="24"/>
        </w:rPr>
        <w:t>1.</w:t>
      </w:r>
      <w:r>
        <w:rPr>
          <w:rFonts w:ascii="方正仿宋_GBK" w:eastAsia="方正仿宋_GBK" w:hAnsi="方正仿宋_GBK" w:cs="方正仿宋_GBK" w:hint="eastAsia"/>
          <w:sz w:val="24"/>
        </w:rPr>
        <w:t>本表中涉及</w:t>
      </w:r>
      <w:r>
        <w:rPr>
          <w:rFonts w:ascii="方正仿宋_GBK" w:eastAsia="方正仿宋_GBK" w:hAnsi="方正仿宋_GBK" w:cs="方正仿宋_GBK" w:hint="eastAsia"/>
          <w:b/>
          <w:sz w:val="24"/>
        </w:rPr>
        <w:t>过程信息</w:t>
      </w:r>
      <w:r>
        <w:rPr>
          <w:rFonts w:ascii="方正仿宋_GBK" w:eastAsia="方正仿宋_GBK" w:hAnsi="方正仿宋_GBK" w:cs="方正仿宋_GBK" w:hint="eastAsia"/>
          <w:sz w:val="24"/>
        </w:rPr>
        <w:t>的数据（如科研获奖、学术论文、科研项目等），统计</w:t>
      </w:r>
      <w:r>
        <w:rPr>
          <w:rFonts w:ascii="方正仿宋_GBK" w:eastAsia="方正仿宋_GBK" w:hAnsi="方正仿宋_GBK" w:cs="方正仿宋_GBK" w:hint="eastAsia"/>
          <w:b/>
          <w:sz w:val="24"/>
        </w:rPr>
        <w:t>时间段</w:t>
      </w:r>
      <w:r>
        <w:rPr>
          <w:rFonts w:ascii="方正仿宋_GBK" w:eastAsia="方正仿宋_GBK" w:hAnsi="方正仿宋_GBK" w:cs="方正仿宋_GBK" w:hint="eastAsia"/>
          <w:sz w:val="24"/>
        </w:rPr>
        <w:t>均为</w:t>
      </w:r>
      <w:r>
        <w:rPr>
          <w:rFonts w:ascii="方正仿宋_GBK" w:eastAsia="方正仿宋_GBK" w:hAnsi="方正仿宋_GBK" w:cs="方正仿宋_GBK" w:hint="eastAsia"/>
          <w:sz w:val="24"/>
        </w:rPr>
        <w:t>2016</w:t>
      </w:r>
      <w:r>
        <w:rPr>
          <w:rFonts w:ascii="方正仿宋_GBK" w:eastAsia="方正仿宋_GBK" w:hAnsi="方正仿宋_GBK" w:cs="方正仿宋_GBK" w:hint="eastAsia"/>
          <w:sz w:val="24"/>
        </w:rPr>
        <w:t>年</w:t>
      </w:r>
      <w:r>
        <w:rPr>
          <w:rFonts w:ascii="方正仿宋_GBK" w:eastAsia="方正仿宋_GBK" w:hAnsi="方正仿宋_GBK" w:cs="方正仿宋_GBK" w:hint="eastAsia"/>
          <w:sz w:val="24"/>
        </w:rPr>
        <w:t>1</w:t>
      </w:r>
      <w:r>
        <w:rPr>
          <w:rFonts w:ascii="方正仿宋_GBK" w:eastAsia="方正仿宋_GBK" w:hAnsi="方正仿宋_GBK" w:cs="方正仿宋_GBK" w:hint="eastAsia"/>
          <w:sz w:val="24"/>
        </w:rPr>
        <w:t>月</w:t>
      </w:r>
      <w:r>
        <w:rPr>
          <w:rFonts w:ascii="方正仿宋_GBK" w:eastAsia="方正仿宋_GBK" w:hAnsi="方正仿宋_GBK" w:cs="方正仿宋_GBK" w:hint="eastAsia"/>
          <w:sz w:val="24"/>
        </w:rPr>
        <w:t>1</w:t>
      </w:r>
      <w:r>
        <w:rPr>
          <w:rFonts w:ascii="方正仿宋_GBK" w:eastAsia="方正仿宋_GBK" w:hAnsi="方正仿宋_GBK" w:cs="方正仿宋_GBK" w:hint="eastAsia"/>
          <w:sz w:val="24"/>
        </w:rPr>
        <w:t>日至</w:t>
      </w:r>
      <w:r>
        <w:rPr>
          <w:rFonts w:ascii="方正仿宋_GBK" w:eastAsia="方正仿宋_GBK" w:hAnsi="方正仿宋_GBK" w:cs="方正仿宋_GBK" w:hint="eastAsia"/>
          <w:sz w:val="24"/>
        </w:rPr>
        <w:t>2019</w:t>
      </w:r>
      <w:r>
        <w:rPr>
          <w:rFonts w:ascii="方正仿宋_GBK" w:eastAsia="方正仿宋_GBK" w:hAnsi="方正仿宋_GBK" w:cs="方正仿宋_GBK" w:hint="eastAsia"/>
          <w:sz w:val="24"/>
        </w:rPr>
        <w:t>年</w:t>
      </w:r>
      <w:r>
        <w:rPr>
          <w:rFonts w:ascii="方正仿宋_GBK" w:eastAsia="方正仿宋_GBK" w:hAnsi="方正仿宋_GBK" w:cs="方正仿宋_GBK" w:hint="eastAsia"/>
          <w:sz w:val="24"/>
        </w:rPr>
        <w:t>1</w:t>
      </w:r>
      <w:r>
        <w:rPr>
          <w:rFonts w:ascii="方正仿宋_GBK" w:eastAsia="方正仿宋_GBK" w:hAnsi="方正仿宋_GBK" w:cs="方正仿宋_GBK" w:hint="eastAsia"/>
          <w:sz w:val="24"/>
        </w:rPr>
        <w:t>1</w:t>
      </w:r>
      <w:r>
        <w:rPr>
          <w:rFonts w:ascii="方正仿宋_GBK" w:eastAsia="方正仿宋_GBK" w:hAnsi="方正仿宋_GBK" w:cs="方正仿宋_GBK" w:hint="eastAsia"/>
          <w:sz w:val="24"/>
        </w:rPr>
        <w:t>月</w:t>
      </w:r>
      <w:r>
        <w:rPr>
          <w:rFonts w:ascii="方正仿宋_GBK" w:eastAsia="方正仿宋_GBK" w:hAnsi="方正仿宋_GBK" w:cs="方正仿宋_GBK" w:hint="eastAsia"/>
          <w:sz w:val="24"/>
        </w:rPr>
        <w:t>31</w:t>
      </w:r>
      <w:r>
        <w:rPr>
          <w:rFonts w:ascii="方正仿宋_GBK" w:eastAsia="方正仿宋_GBK" w:hAnsi="方正仿宋_GBK" w:cs="方正仿宋_GBK" w:hint="eastAsia"/>
          <w:sz w:val="24"/>
        </w:rPr>
        <w:t>日；涉及</w:t>
      </w:r>
      <w:r>
        <w:rPr>
          <w:rFonts w:ascii="方正仿宋_GBK" w:eastAsia="方正仿宋_GBK" w:hAnsi="方正仿宋_GBK" w:cs="方正仿宋_GBK" w:hint="eastAsia"/>
          <w:b/>
          <w:sz w:val="24"/>
        </w:rPr>
        <w:t>状态信息</w:t>
      </w:r>
      <w:r>
        <w:rPr>
          <w:rFonts w:ascii="方正仿宋_GBK" w:eastAsia="方正仿宋_GBK" w:hAnsi="方正仿宋_GBK" w:cs="方正仿宋_GBK" w:hint="eastAsia"/>
          <w:sz w:val="24"/>
        </w:rPr>
        <w:t>的数据（如专任教师数、在校生数、重点实验室数、年龄等），统计</w:t>
      </w:r>
      <w:r>
        <w:rPr>
          <w:rFonts w:ascii="方正仿宋_GBK" w:eastAsia="方正仿宋_GBK" w:hAnsi="方正仿宋_GBK" w:cs="方正仿宋_GBK" w:hint="eastAsia"/>
          <w:b/>
          <w:sz w:val="24"/>
        </w:rPr>
        <w:t>时间点</w:t>
      </w:r>
      <w:r>
        <w:rPr>
          <w:rFonts w:ascii="方正仿宋_GBK" w:eastAsia="方正仿宋_GBK" w:hAnsi="方正仿宋_GBK" w:cs="方正仿宋_GBK" w:hint="eastAsia"/>
          <w:sz w:val="24"/>
        </w:rPr>
        <w:t>均为</w:t>
      </w:r>
      <w:r>
        <w:rPr>
          <w:rFonts w:ascii="方正仿宋_GBK" w:eastAsia="方正仿宋_GBK" w:hAnsi="方正仿宋_GBK" w:cs="方正仿宋_GBK" w:hint="eastAsia"/>
          <w:sz w:val="24"/>
        </w:rPr>
        <w:t>2019</w:t>
      </w:r>
      <w:r>
        <w:rPr>
          <w:rFonts w:ascii="方正仿宋_GBK" w:eastAsia="方正仿宋_GBK" w:hAnsi="方正仿宋_GBK" w:cs="方正仿宋_GBK" w:hint="eastAsia"/>
          <w:sz w:val="24"/>
        </w:rPr>
        <w:t>年</w:t>
      </w:r>
      <w:r>
        <w:rPr>
          <w:rFonts w:ascii="方正仿宋_GBK" w:eastAsia="方正仿宋_GBK" w:hAnsi="方正仿宋_GBK" w:cs="方正仿宋_GBK" w:hint="eastAsia"/>
          <w:sz w:val="24"/>
        </w:rPr>
        <w:t>8</w:t>
      </w:r>
      <w:r>
        <w:rPr>
          <w:rFonts w:ascii="方正仿宋_GBK" w:eastAsia="方正仿宋_GBK" w:hAnsi="方正仿宋_GBK" w:cs="方正仿宋_GBK" w:hint="eastAsia"/>
          <w:sz w:val="24"/>
        </w:rPr>
        <w:t>月</w:t>
      </w:r>
      <w:r>
        <w:rPr>
          <w:rFonts w:ascii="方正仿宋_GBK" w:eastAsia="方正仿宋_GBK" w:hAnsi="方正仿宋_GBK" w:cs="方正仿宋_GBK" w:hint="eastAsia"/>
          <w:sz w:val="24"/>
        </w:rPr>
        <w:t>31</w:t>
      </w:r>
      <w:r>
        <w:rPr>
          <w:rFonts w:ascii="方正仿宋_GBK" w:eastAsia="方正仿宋_GBK" w:hAnsi="方正仿宋_GBK" w:cs="方正仿宋_GBK" w:hint="eastAsia"/>
          <w:sz w:val="24"/>
        </w:rPr>
        <w:t>日。</w:t>
      </w:r>
    </w:p>
    <w:p w:rsidR="00576CAD" w:rsidRDefault="00863EAA">
      <w:pPr>
        <w:adjustRightInd w:val="0"/>
        <w:snapToGrid w:val="0"/>
        <w:spacing w:line="360" w:lineRule="exact"/>
        <w:rPr>
          <w:rFonts w:ascii="方正仿宋_GBK" w:eastAsia="方正仿宋_GBK" w:hAnsi="方正仿宋_GBK" w:cs="方正仿宋_GBK"/>
          <w:sz w:val="24"/>
        </w:rPr>
      </w:pPr>
      <w:r>
        <w:rPr>
          <w:rFonts w:ascii="方正仿宋_GBK" w:eastAsia="方正仿宋_GBK" w:hAnsi="方正仿宋_GBK" w:cs="方正仿宋_GBK" w:hint="eastAsia"/>
          <w:sz w:val="24"/>
        </w:rPr>
        <w:t xml:space="preserve">    2.</w:t>
      </w:r>
      <w:r>
        <w:rPr>
          <w:rFonts w:ascii="方正仿宋_GBK" w:eastAsia="方正仿宋_GBK" w:hAnsi="方正仿宋_GBK" w:cs="方正仿宋_GBK" w:hint="eastAsia"/>
          <w:sz w:val="24"/>
        </w:rPr>
        <w:t>国家级一流课程</w:t>
      </w:r>
      <w:r>
        <w:rPr>
          <w:rFonts w:ascii="方正仿宋_GBK" w:eastAsia="方正仿宋_GBK" w:hAnsi="方正仿宋_GBK" w:cs="方正仿宋_GBK" w:hint="eastAsia"/>
          <w:sz w:val="24"/>
        </w:rPr>
        <w:t>包括</w:t>
      </w:r>
      <w:r>
        <w:rPr>
          <w:rFonts w:ascii="方正仿宋_GBK" w:eastAsia="方正仿宋_GBK" w:hAnsi="方正仿宋_GBK" w:cs="方正仿宋_GBK" w:hint="eastAsia"/>
          <w:sz w:val="24"/>
        </w:rPr>
        <w:t>国家级线上、线下、线上线下混合式、虚拟仿真实验教学、社会实践等</w:t>
      </w:r>
      <w:r>
        <w:rPr>
          <w:rFonts w:ascii="方正仿宋_GBK" w:eastAsia="方正仿宋_GBK" w:hAnsi="方正仿宋_GBK" w:cs="方正仿宋_GBK" w:hint="eastAsia"/>
          <w:sz w:val="24"/>
        </w:rPr>
        <w:t>；国家级教学改革项目国家级包括“六卓越一拔尖”教育培养计划、优秀基层教学组织建设、新工科研究与实践项目、产学合作协同育人项目等；国家教学平台包括国家级实验教学示范中心、国家临床教学培训示范中心、基础学科拔尖学生培养基地等。</w:t>
      </w:r>
    </w:p>
    <w:p w:rsidR="00576CAD" w:rsidRDefault="00863EAA">
      <w:pPr>
        <w:adjustRightInd w:val="0"/>
        <w:snapToGrid w:val="0"/>
        <w:spacing w:line="360" w:lineRule="exact"/>
        <w:rPr>
          <w:rFonts w:ascii="方正仿宋_GBK" w:eastAsia="方正仿宋_GBK" w:hAnsi="方正仿宋_GBK" w:cs="方正仿宋_GBK"/>
          <w:sz w:val="24"/>
        </w:rPr>
      </w:pPr>
      <w:r>
        <w:rPr>
          <w:rFonts w:ascii="方正仿宋_GBK" w:eastAsia="方正仿宋_GBK" w:hAnsi="方正仿宋_GBK" w:cs="方正仿宋_GBK" w:hint="eastAsia"/>
          <w:sz w:val="24"/>
        </w:rPr>
        <w:t xml:space="preserve">    3.</w:t>
      </w:r>
      <w:r>
        <w:rPr>
          <w:rFonts w:ascii="方正仿宋_GBK" w:eastAsia="方正仿宋_GBK" w:hAnsi="方正仿宋_GBK" w:cs="方正仿宋_GBK" w:hint="eastAsia"/>
          <w:sz w:val="24"/>
        </w:rPr>
        <w:t>学科自评表中的教师</w:t>
      </w:r>
      <w:r>
        <w:rPr>
          <w:rFonts w:ascii="方正仿宋_GBK" w:eastAsia="方正仿宋_GBK" w:hAnsi="方正仿宋_GBK" w:cs="方正仿宋_GBK" w:hint="eastAsia"/>
          <w:sz w:val="24"/>
        </w:rPr>
        <w:t>、成果</w:t>
      </w:r>
      <w:r>
        <w:rPr>
          <w:rFonts w:ascii="方正仿宋_GBK" w:eastAsia="方正仿宋_GBK" w:hAnsi="方正仿宋_GBK" w:cs="方正仿宋_GBK" w:hint="eastAsia"/>
          <w:sz w:val="24"/>
        </w:rPr>
        <w:t>可参照第四轮学科评估要求确定其归属。</w:t>
      </w:r>
    </w:p>
    <w:p w:rsidR="00576CAD" w:rsidRDefault="00863EAA">
      <w:pPr>
        <w:adjustRightInd w:val="0"/>
        <w:snapToGrid w:val="0"/>
        <w:spacing w:line="380" w:lineRule="exact"/>
        <w:rPr>
          <w:rFonts w:ascii="Times New Roman" w:eastAsia="仿宋" w:hAnsi="Times New Roman"/>
          <w:kern w:val="0"/>
          <w:szCs w:val="21"/>
        </w:rPr>
      </w:pPr>
      <w:r>
        <w:rPr>
          <w:rFonts w:ascii="方正仿宋_GBK" w:eastAsia="方正仿宋_GBK" w:hAnsi="方正仿宋_GBK" w:cs="方正仿宋_GBK" w:hint="eastAsia"/>
          <w:sz w:val="24"/>
        </w:rPr>
        <w:t xml:space="preserve">    4.</w:t>
      </w:r>
      <w:r>
        <w:rPr>
          <w:rFonts w:ascii="方正仿宋_GBK" w:eastAsia="方正仿宋_GBK" w:hAnsi="方正仿宋_GBK" w:cs="方正仿宋_GBK" w:hint="eastAsia"/>
          <w:sz w:val="24"/>
        </w:rPr>
        <w:t>学科自评表中“学生”均包含本科生。</w:t>
      </w:r>
    </w:p>
    <w:p w:rsidR="00576CAD" w:rsidRDefault="00576CAD"/>
    <w:sectPr w:rsidR="00576CAD" w:rsidSect="00576CAD">
      <w:footerReference w:type="default" r:id="rId9"/>
      <w:pgSz w:w="11906" w:h="16838"/>
      <w:pgMar w:top="1928" w:right="1531" w:bottom="1928" w:left="1531" w:header="851" w:footer="1474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EAA" w:rsidRDefault="00863EAA" w:rsidP="00576CAD">
      <w:r>
        <w:separator/>
      </w:r>
    </w:p>
  </w:endnote>
  <w:endnote w:type="continuationSeparator" w:id="0">
    <w:p w:rsidR="00863EAA" w:rsidRDefault="00863EAA" w:rsidP="00576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黑体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AD" w:rsidRDefault="00576CAD">
    <w:pPr>
      <w:pStyle w:val="a3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 w:rsidR="00863EAA"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863EAA">
      <w:rPr>
        <w:rFonts w:ascii="宋体" w:hAnsi="宋体"/>
        <w:sz w:val="28"/>
        <w:szCs w:val="28"/>
        <w:lang w:val="zh-CN"/>
      </w:rPr>
      <w:t>-</w:t>
    </w:r>
    <w:r w:rsidR="00863EAA"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  <w:p w:rsidR="00576CAD" w:rsidRDefault="00576CAD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AD" w:rsidRDefault="00576CAD">
    <w:pPr>
      <w:pStyle w:val="a3"/>
      <w:jc w:val="right"/>
      <w:rPr>
        <w:rFonts w:ascii="宋体" w:hAnsi="宋体"/>
        <w:sz w:val="28"/>
        <w:szCs w:val="28"/>
      </w:rPr>
    </w:pPr>
  </w:p>
  <w:p w:rsidR="00576CAD" w:rsidRDefault="00576CAD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AD" w:rsidRDefault="00576CAD">
    <w:pPr>
      <w:pStyle w:val="a3"/>
      <w:jc w:val="right"/>
      <w:rPr>
        <w:rFonts w:ascii="宋体" w:hAnsi="宋体"/>
        <w:sz w:val="28"/>
        <w:szCs w:val="28"/>
      </w:rPr>
    </w:pPr>
    <w:r w:rsidRPr="00576CAD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TVs2AVAgAAEwQAAA4AAABkcnMvZTJvRG9jLnhtbK1TTY7TMBTeI3EH&#10;y3uatIiZqm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NTVs2AVAgAAEwQAAA4AAAAAAAAA&#10;AQAgAAAAHwEAAGRycy9lMm9Eb2MueG1sUEsFBgAAAAAGAAYAWQEAAKYFAAAAAA==&#10;" filled="f" stroked="f" strokeweight=".5pt">
          <v:textbox style="mso-fit-shape-to-text:t" inset="0,0,0,0">
            <w:txbxContent>
              <w:p w:rsidR="00576CAD" w:rsidRDefault="00576CAD">
                <w:pPr>
                  <w:snapToGrid w:val="0"/>
                  <w:rPr>
                    <w:sz w:val="28"/>
                    <w:szCs w:val="28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 w:rsidR="00863EAA"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2C3AF2">
                  <w:rPr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  <w:p w:rsidR="00576CAD" w:rsidRDefault="00576CA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EAA" w:rsidRDefault="00863EAA" w:rsidP="00576CAD">
      <w:r>
        <w:separator/>
      </w:r>
    </w:p>
  </w:footnote>
  <w:footnote w:type="continuationSeparator" w:id="0">
    <w:p w:rsidR="00863EAA" w:rsidRDefault="00863EAA" w:rsidP="00576C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ED01B35"/>
    <w:rsid w:val="002C3AF2"/>
    <w:rsid w:val="00576CAD"/>
    <w:rsid w:val="00863EAA"/>
    <w:rsid w:val="01737363"/>
    <w:rsid w:val="08566806"/>
    <w:rsid w:val="0A07127C"/>
    <w:rsid w:val="2E6674CB"/>
    <w:rsid w:val="414463A9"/>
    <w:rsid w:val="438A66AA"/>
    <w:rsid w:val="4AD13FF6"/>
    <w:rsid w:val="4C10740B"/>
    <w:rsid w:val="592A0BA7"/>
    <w:rsid w:val="5ED01B35"/>
    <w:rsid w:val="65C40E78"/>
    <w:rsid w:val="69281AAF"/>
    <w:rsid w:val="72B84482"/>
    <w:rsid w:val="73AC0731"/>
    <w:rsid w:val="7E8F6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CA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576C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2C3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2C3AF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1265</Words>
  <Characters>1354</Characters>
  <Application>Microsoft Office Word</Application>
  <DocSecurity>0</DocSecurity>
  <Lines>84</Lines>
  <Paragraphs>60</Paragraphs>
  <ScaleCrop>false</ScaleCrop>
  <Company/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学科建设与发展规划处</cp:lastModifiedBy>
  <cp:revision>2</cp:revision>
  <cp:lastPrinted>2019-12-04T03:24:00Z</cp:lastPrinted>
  <dcterms:created xsi:type="dcterms:W3CDTF">2019-12-03T02:58:00Z</dcterms:created>
  <dcterms:modified xsi:type="dcterms:W3CDTF">2019-12-04T03:36:00Z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